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56"/>
        <w:gridCol w:w="1723"/>
        <w:gridCol w:w="1236"/>
        <w:gridCol w:w="1317"/>
        <w:gridCol w:w="1350"/>
        <w:gridCol w:w="1353"/>
      </w:tblGrid>
      <w:tr w:rsidR="00D02A35" w:rsidRPr="00D02A35" w:rsidTr="00306CA2">
        <w:trPr>
          <w:trHeight w:val="140"/>
          <w:tblHeader/>
          <w:jc w:val="center"/>
        </w:trPr>
        <w:tc>
          <w:tcPr>
            <w:tcW w:w="0" w:type="auto"/>
            <w:shd w:val="pct5" w:color="auto" w:fill="FFFFFF"/>
          </w:tcPr>
          <w:p w:rsidR="00D02A35" w:rsidRPr="00D02A35" w:rsidRDefault="00306CA2" w:rsidP="00306CA2">
            <w:pPr>
              <w:numPr>
                <w:ilvl w:val="12"/>
                <w:numId w:val="0"/>
              </w:numPr>
              <w:spacing w:before="120"/>
              <w:ind w:left="469"/>
              <w:jc w:val="center"/>
              <w:rPr>
                <w:rFonts w:ascii="Interstate-Light" w:hAnsi="Interstate-Light" w:cs="ScalaSansLF-Regular"/>
                <w:b/>
                <w:bCs/>
              </w:rPr>
            </w:pPr>
            <w:r>
              <w:rPr>
                <w:rFonts w:ascii="Interstate-Light" w:hAnsi="Interstate-Light" w:cs="ScalaSansLF-Regular"/>
                <w:b/>
                <w:bCs/>
              </w:rPr>
              <w:t>Documents à fournir à l’e</w:t>
            </w:r>
            <w:r w:rsidR="00D02A35" w:rsidRPr="00D02A35">
              <w:rPr>
                <w:rFonts w:ascii="Interstate-Light" w:hAnsi="Interstate-Light" w:cs="ScalaSansLF-Regular"/>
                <w:b/>
                <w:bCs/>
              </w:rPr>
              <w:t>xpert</w:t>
            </w:r>
            <w:r>
              <w:rPr>
                <w:rFonts w:ascii="Interstate-Light" w:hAnsi="Interstate-Light" w:cs="ScalaSansLF-Regular"/>
                <w:b/>
                <w:bCs/>
              </w:rPr>
              <w:t>-comptable</w:t>
            </w:r>
          </w:p>
        </w:tc>
        <w:tc>
          <w:tcPr>
            <w:tcW w:w="0" w:type="auto"/>
            <w:shd w:val="pct5" w:color="auto" w:fill="FFFFFF"/>
            <w:vAlign w:val="center"/>
          </w:tcPr>
          <w:p w:rsidR="00D02A35" w:rsidRPr="00D02A35" w:rsidRDefault="00D02A35" w:rsidP="00D02A35">
            <w:pPr>
              <w:numPr>
                <w:ilvl w:val="12"/>
                <w:numId w:val="0"/>
              </w:numPr>
              <w:spacing w:before="20"/>
              <w:ind w:left="469"/>
              <w:rPr>
                <w:rFonts w:ascii="Interstate-Light" w:hAnsi="Interstate-Light" w:cs="ScalaSansLF-Regular"/>
                <w:b/>
                <w:bCs/>
              </w:rPr>
            </w:pPr>
            <w:r w:rsidRPr="00D02A35">
              <w:rPr>
                <w:rFonts w:ascii="Interstate-Light" w:hAnsi="Interstate-Light" w:cs="ScalaSansLF-Regular"/>
                <w:b/>
                <w:bCs/>
              </w:rPr>
              <w:t>Documents demandés</w:t>
            </w:r>
          </w:p>
        </w:tc>
        <w:tc>
          <w:tcPr>
            <w:tcW w:w="0" w:type="auto"/>
            <w:shd w:val="pct5" w:color="auto" w:fill="FFFFFF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Interstate-Light" w:hAnsi="Interstate-Light" w:cs="ScalaSansLF-Regular"/>
                <w:b/>
                <w:bCs/>
              </w:rPr>
            </w:pPr>
            <w:r w:rsidRPr="00D02A35">
              <w:rPr>
                <w:rFonts w:ascii="Interstate-Light" w:hAnsi="Interstate-Light" w:cs="ScalaSansLF-Regular"/>
                <w:b/>
                <w:bCs/>
              </w:rPr>
              <w:t>Documents  fournis</w:t>
            </w:r>
          </w:p>
        </w:tc>
        <w:tc>
          <w:tcPr>
            <w:tcW w:w="0" w:type="auto"/>
            <w:shd w:val="pct5" w:color="auto" w:fill="FFFFFF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Interstate-Light" w:hAnsi="Interstate-Light" w:cs="ScalaSansLF-Regular"/>
                <w:b/>
                <w:bCs/>
              </w:rPr>
            </w:pPr>
            <w:r w:rsidRPr="00D02A35">
              <w:rPr>
                <w:rFonts w:ascii="Interstate-Light" w:hAnsi="Interstate-Light" w:cs="ScalaSansLF-Regular"/>
                <w:b/>
                <w:bCs/>
              </w:rPr>
              <w:t>Documents</w:t>
            </w:r>
          </w:p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Interstate-Light" w:hAnsi="Interstate-Light" w:cs="ScalaSansLF-Regular"/>
                <w:b/>
                <w:bCs/>
              </w:rPr>
            </w:pPr>
            <w:r w:rsidRPr="00D02A35">
              <w:rPr>
                <w:rFonts w:ascii="Interstate-Light" w:hAnsi="Interstate-Light" w:cs="ScalaSansLF-Regular"/>
                <w:b/>
                <w:bCs/>
              </w:rPr>
              <w:t>à produire par le demandeur</w:t>
            </w:r>
          </w:p>
        </w:tc>
        <w:tc>
          <w:tcPr>
            <w:tcW w:w="0" w:type="auto"/>
            <w:shd w:val="pct5" w:color="auto" w:fill="FFFFFF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Interstate-Light" w:hAnsi="Interstate-Light" w:cs="ScalaSansLF-Regular"/>
                <w:b/>
                <w:bCs/>
              </w:rPr>
            </w:pPr>
            <w:r w:rsidRPr="00D02A35">
              <w:rPr>
                <w:rFonts w:ascii="Interstate-Light" w:hAnsi="Interstate-Light" w:cs="ScalaSansLF-Regular"/>
                <w:b/>
                <w:bCs/>
              </w:rPr>
              <w:t>Documents</w:t>
            </w:r>
          </w:p>
          <w:p w:rsidR="00D02A35" w:rsidRPr="00D02A35" w:rsidRDefault="00306CA2" w:rsidP="00306CA2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Interstate-Light" w:hAnsi="Interstate-Light" w:cs="ScalaSansLF-Regular"/>
                <w:b/>
                <w:bCs/>
              </w:rPr>
            </w:pPr>
            <w:r>
              <w:rPr>
                <w:rFonts w:ascii="Interstate-Light" w:hAnsi="Interstate-Light" w:cs="ScalaSansLF-Regular"/>
                <w:b/>
                <w:bCs/>
              </w:rPr>
              <w:t>q</w:t>
            </w:r>
            <w:r w:rsidR="00D02A35" w:rsidRPr="00D02A35">
              <w:rPr>
                <w:rFonts w:ascii="Interstate-Light" w:hAnsi="Interstate-Light" w:cs="ScalaSansLF-Regular"/>
                <w:b/>
                <w:bCs/>
              </w:rPr>
              <w:t>ue l'</w:t>
            </w:r>
            <w:r>
              <w:rPr>
                <w:rFonts w:ascii="Interstate-Light" w:hAnsi="Interstate-Light" w:cs="ScalaSansLF-Regular"/>
                <w:b/>
                <w:bCs/>
              </w:rPr>
              <w:t>e</w:t>
            </w:r>
            <w:r w:rsidR="00D02A35" w:rsidRPr="00D02A35">
              <w:rPr>
                <w:rFonts w:ascii="Interstate-Light" w:hAnsi="Interstate-Light" w:cs="ScalaSansLF-Regular"/>
                <w:b/>
                <w:bCs/>
              </w:rPr>
              <w:t>xpert</w:t>
            </w:r>
            <w:r>
              <w:rPr>
                <w:rFonts w:ascii="Interstate-Light" w:hAnsi="Interstate-Light" w:cs="ScalaSansLF-Regular"/>
                <w:b/>
                <w:bCs/>
              </w:rPr>
              <w:t>-comptable</w:t>
            </w:r>
            <w:r w:rsidR="00D02A35" w:rsidRPr="00D02A35">
              <w:rPr>
                <w:rFonts w:ascii="Interstate-Light" w:hAnsi="Interstate-Light" w:cs="ScalaSansLF-Regular"/>
                <w:b/>
                <w:bCs/>
              </w:rPr>
              <w:t xml:space="preserve"> se procurera</w:t>
            </w:r>
          </w:p>
        </w:tc>
        <w:tc>
          <w:tcPr>
            <w:tcW w:w="0" w:type="auto"/>
            <w:shd w:val="pct5" w:color="auto" w:fill="FFFFFF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Interstate-Light" w:hAnsi="Interstate-Light" w:cs="ScalaSansLF-Regular"/>
                <w:b/>
                <w:bCs/>
              </w:rPr>
            </w:pPr>
            <w:r w:rsidRPr="00D02A35">
              <w:rPr>
                <w:rFonts w:ascii="Interstate-Light" w:hAnsi="Interstate-Light" w:cs="ScalaSansLF-Regular"/>
                <w:b/>
                <w:bCs/>
              </w:rPr>
              <w:t>Observations</w:t>
            </w: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 w:after="40"/>
              <w:ind w:left="469"/>
              <w:rPr>
                <w:rFonts w:ascii="Interstate-Light" w:hAnsi="Interstate-Light" w:cs="ScalaSansLF-Regular"/>
                <w:b/>
                <w:bCs/>
              </w:rPr>
            </w:pPr>
            <w:r w:rsidRPr="00D02A35">
              <w:rPr>
                <w:rFonts w:ascii="Interstate-Light" w:hAnsi="Interstate-Light" w:cs="ScalaSansLF-Regular"/>
                <w:b/>
                <w:bCs/>
              </w:rPr>
              <w:t>Propriété/régime juridique :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ind w:left="469"/>
              <w:jc w:val="center"/>
              <w:rPr>
                <w:rFonts w:ascii="Interstate-Light" w:hAnsi="Interstate-Light" w:cs="ScalaSansLF-Regular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  <w:b/>
                <w:bCs/>
              </w:rPr>
            </w:pP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  <w:b/>
                <w:bCs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Titres de propriété ou attestation</w:t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306CA2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  <w:shd w:val="clear" w:color="00FFFF" w:fill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Contrat crédit-bail immobilier</w:t>
            </w:r>
          </w:p>
        </w:tc>
        <w:tc>
          <w:tcPr>
            <w:tcW w:w="0" w:type="auto"/>
            <w:shd w:val="clear" w:color="00FFFF" w:fill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shd w:val="clear" w:color="00FFFF" w:fill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shd w:val="clear" w:color="00FFFF" w:fill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shd w:val="clear" w:color="00FFFF" w:fill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shd w:val="clear" w:color="00FFFF" w:fill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Règlement de copropriété</w:t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306CA2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Cahier des charges</w:t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Compte-rendu de la dernière assemblée de copropriété (3 dernières années si possible)</w:t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306CA2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Servitudes</w:t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Si loyer : dernière quittance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Taxe foncière</w:t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306CA2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ind w:left="469" w:hanging="284"/>
              <w:rPr>
                <w:rFonts w:ascii="Interstate-Light" w:hAnsi="Interstate-Light" w:cs="ScalaSansLF-Regular"/>
                <w:b/>
                <w:bCs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ind w:left="469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 w:after="40"/>
              <w:ind w:left="469"/>
              <w:rPr>
                <w:rFonts w:ascii="Interstate-Light" w:hAnsi="Interstate-Light" w:cs="ScalaSansLF-Regular"/>
                <w:b/>
                <w:bCs/>
              </w:rPr>
            </w:pPr>
            <w:r w:rsidRPr="00D02A35">
              <w:rPr>
                <w:rFonts w:ascii="Interstate-Light" w:hAnsi="Interstate-Light" w:cs="ScalaSansLF-Regular"/>
                <w:b/>
                <w:bCs/>
              </w:rPr>
              <w:t>Cadastre / urbanisme :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ind w:left="469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Relevé cadastral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Plan cadastral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POS-PLU-règlement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Certificat d'urbanisme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Autres autorisations (CDEC, activités classées etc.)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Copie carte routière et plan IGN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Cartes géologiques (en agricole) : BRGM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 xml:space="preserve">Procès-verbal de bornage 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Demande de renseignements sommaires (fiche de propriétaire de l’immeuble)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ind w:left="469" w:hanging="284"/>
              <w:rPr>
                <w:rFonts w:ascii="Interstate-Light" w:hAnsi="Interstate-Light" w:cs="ScalaSansLF-Regular"/>
                <w:b/>
                <w:bCs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ind w:left="469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 w:after="40"/>
              <w:ind w:left="469"/>
              <w:rPr>
                <w:rFonts w:ascii="Interstate-Light" w:hAnsi="Interstate-Light" w:cs="ScalaSansLF-Regular"/>
                <w:b/>
                <w:bCs/>
              </w:rPr>
            </w:pPr>
            <w:r w:rsidRPr="00D02A35">
              <w:rPr>
                <w:rFonts w:ascii="Interstate-Light" w:hAnsi="Interstate-Light" w:cs="ScalaSansLF-Regular"/>
                <w:b/>
                <w:bCs/>
              </w:rPr>
              <w:t>Construction :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ind w:left="469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lastRenderedPageBreak/>
              <w:t>Permis de Construire</w:t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Déclaration d'achèvement et Certificat de conformité</w:t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Contentieux éventuels</w:t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Descriptif, liste des installations générales et techniques</w:t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306CA2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Factures d’achats d’équipements qui resteront dans l’immeuble</w:t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Si construction &lt; 5ans (TVA) : PV de réception et toutes les factures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Autorisation de travaux</w:t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Assurance dommages ouvrages ou à défaut travaux et attest</w:t>
            </w:r>
            <w:r w:rsidR="00306CA2">
              <w:rPr>
                <w:rFonts w:ascii="Interstate-Light" w:hAnsi="Interstate-Light" w:cs="ScalaSansLF-Regular"/>
              </w:rPr>
              <w:t>ations</w:t>
            </w:r>
            <w:r w:rsidRPr="00D02A35">
              <w:rPr>
                <w:rFonts w:ascii="Interstate-Light" w:hAnsi="Interstate-Light" w:cs="ScalaSansLF-Regular"/>
              </w:rPr>
              <w:t xml:space="preserve"> assurances entreprises 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Si alimentation en eau de puits : dernières analyses de l’eau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Si fosse septique : étude de définition de filière d’assainissement –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Si fosse septique : dernier rapport contrôle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916268">
        <w:trPr>
          <w:trHeight w:val="140"/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Conventions, engagement, garanties, etc…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916268">
        <w:trPr>
          <w:trHeight w:val="140"/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 w:after="40"/>
              <w:ind w:left="469"/>
              <w:rPr>
                <w:rFonts w:ascii="Interstate-Light" w:hAnsi="Interstate-Light" w:cs="ScalaSansLF-Regular"/>
                <w:b/>
                <w:bCs/>
              </w:rPr>
            </w:pPr>
            <w:r w:rsidRPr="00D02A35">
              <w:rPr>
                <w:rFonts w:ascii="Interstate-Light" w:hAnsi="Interstate-Light" w:cs="ScalaSansLF-Regular"/>
                <w:b/>
                <w:bCs/>
              </w:rPr>
              <w:t>Plans / surfaces :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ind w:left="469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916268">
        <w:trPr>
          <w:trHeight w:val="246"/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tabs>
                <w:tab w:val="left" w:pos="496"/>
              </w:tabs>
              <w:spacing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Plans par niveau - Plan masse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  <w:tcBorders>
              <w:top w:val="dotted" w:sz="6" w:space="0" w:color="auto"/>
            </w:tcBorders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tabs>
                <w:tab w:val="left" w:pos="496"/>
              </w:tabs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Etat détaillé de surfaces par niveau et selon leur nature</w:t>
            </w:r>
          </w:p>
        </w:tc>
        <w:tc>
          <w:tcPr>
            <w:tcW w:w="0" w:type="auto"/>
            <w:tcBorders>
              <w:top w:val="dotted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dotted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dotted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dotted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dotted" w:sz="6" w:space="0" w:color="auto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  <w:tcBorders>
              <w:top w:val="dotted" w:sz="6" w:space="0" w:color="auto"/>
            </w:tcBorders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tabs>
                <w:tab w:val="left" w:pos="496"/>
              </w:tabs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Copie carte routière et plan  IGN</w:t>
            </w:r>
          </w:p>
        </w:tc>
        <w:tc>
          <w:tcPr>
            <w:tcW w:w="0" w:type="auto"/>
            <w:tcBorders>
              <w:top w:val="dotted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dotted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dotted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dotted" w:sz="6" w:space="0" w:color="auto"/>
            </w:tcBorders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dotted" w:sz="6" w:space="0" w:color="auto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  <w:tcBorders>
              <w:top w:val="dotted" w:sz="6" w:space="0" w:color="auto"/>
            </w:tcBorders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tabs>
                <w:tab w:val="left" w:pos="496"/>
              </w:tabs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Photos, croquis</w:t>
            </w:r>
          </w:p>
        </w:tc>
        <w:tc>
          <w:tcPr>
            <w:tcW w:w="0" w:type="auto"/>
            <w:tcBorders>
              <w:top w:val="dotted" w:sz="6" w:space="0" w:color="auto"/>
            </w:tcBorders>
            <w:vAlign w:val="center"/>
          </w:tcPr>
          <w:p w:rsidR="00D02A35" w:rsidRPr="00D02A35" w:rsidRDefault="00FB5DE2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dotted" w:sz="6" w:space="0" w:color="auto"/>
            </w:tcBorders>
            <w:vAlign w:val="center"/>
          </w:tcPr>
          <w:p w:rsidR="00D02A35" w:rsidRPr="00D02A35" w:rsidRDefault="00306CA2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dotted" w:sz="6" w:space="0" w:color="auto"/>
            </w:tcBorders>
            <w:vAlign w:val="center"/>
          </w:tcPr>
          <w:p w:rsidR="00D02A35" w:rsidRPr="00D02A35" w:rsidRDefault="00306CA2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dotted" w:sz="6" w:space="0" w:color="auto"/>
            </w:tcBorders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  <w:bookmarkEnd w:id="0"/>
          </w:p>
        </w:tc>
        <w:tc>
          <w:tcPr>
            <w:tcW w:w="0" w:type="auto"/>
            <w:tcBorders>
              <w:top w:val="dotted" w:sz="6" w:space="0" w:color="auto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tabs>
                <w:tab w:val="left" w:pos="496"/>
              </w:tabs>
              <w:spacing w:line="120" w:lineRule="auto"/>
              <w:ind w:left="469" w:hanging="284"/>
              <w:rPr>
                <w:rFonts w:ascii="Interstate-Light" w:hAnsi="Interstate-Light" w:cs="ScalaSansLF-Regular"/>
                <w:b/>
                <w:bCs/>
              </w:rPr>
            </w:pPr>
          </w:p>
          <w:p w:rsidR="00D02A35" w:rsidRPr="00D02A35" w:rsidRDefault="00D02A35" w:rsidP="00306CA2">
            <w:pPr>
              <w:numPr>
                <w:ilvl w:val="12"/>
                <w:numId w:val="0"/>
              </w:numPr>
              <w:tabs>
                <w:tab w:val="left" w:pos="496"/>
              </w:tabs>
              <w:spacing w:line="120" w:lineRule="auto"/>
              <w:ind w:left="469" w:hanging="284"/>
              <w:rPr>
                <w:rFonts w:ascii="Interstate-Light" w:hAnsi="Interstate-Light" w:cs="ScalaSansLF-Regular"/>
                <w:b/>
                <w:bCs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ind w:left="469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 w:after="40"/>
              <w:ind w:left="469"/>
              <w:rPr>
                <w:rFonts w:ascii="Interstate-Light" w:hAnsi="Interstate-Light" w:cs="ScalaSansLF-Regular"/>
                <w:b/>
                <w:bCs/>
              </w:rPr>
            </w:pPr>
            <w:r w:rsidRPr="00D02A35">
              <w:rPr>
                <w:rFonts w:ascii="Interstate-Light" w:hAnsi="Interstate-Light" w:cs="ScalaSansLF-Regular"/>
                <w:b/>
                <w:bCs/>
              </w:rPr>
              <w:lastRenderedPageBreak/>
              <w:t>Situation locative :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ind w:left="469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Etat locatif détaillé en vigueur - derniers loyers facturés</w:t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306CA2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Baux et avenants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Convention de sous-location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Etat des contentieux éventuels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Résiliation des baux : dénonciations reçues ou prévues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Etat des charges locatives de l’immeuble récupérables et non récupérables par le Bailleur</w:t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306CA2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Etat des taxes (impôt foncier et autres taxes), assurance immeuble, frais de gestion, récupérables et non récupérables par le Bailleur</w:t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306CA2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140"/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ind w:left="469" w:hanging="284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ind w:left="469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line="120" w:lineRule="auto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271C3B">
        <w:trPr>
          <w:trHeight w:val="321"/>
          <w:jc w:val="center"/>
        </w:trPr>
        <w:tc>
          <w:tcPr>
            <w:tcW w:w="0" w:type="auto"/>
            <w:tcBorders>
              <w:bottom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 w:after="40"/>
              <w:ind w:left="469"/>
              <w:rPr>
                <w:rFonts w:ascii="Interstate-Light" w:hAnsi="Interstate-Light" w:cs="ScalaSansLF-Regular"/>
                <w:b/>
                <w:bCs/>
              </w:rPr>
            </w:pPr>
            <w:r w:rsidRPr="00D02A35">
              <w:rPr>
                <w:rFonts w:ascii="Interstate-Light" w:hAnsi="Interstate-Light" w:cs="ScalaSansLF-Regular"/>
                <w:b/>
                <w:bCs/>
              </w:rPr>
              <w:t>Travaux :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ind w:left="469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271C3B">
        <w:trPr>
          <w:trHeight w:val="844"/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Liste des travaux dernièrement réalisés (gros travaux - entretien courant) et montants.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271C3B">
        <w:trPr>
          <w:trHeight w:val="537"/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Liste des travaux prévisionnels (gros travaux - entretien courant) et montants.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271C3B">
        <w:trPr>
          <w:trHeight w:val="292"/>
          <w:jc w:val="center"/>
        </w:trPr>
        <w:tc>
          <w:tcPr>
            <w:tcW w:w="0" w:type="auto"/>
            <w:tcBorders>
              <w:bottom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 w:after="40"/>
              <w:ind w:left="469"/>
              <w:rPr>
                <w:rFonts w:ascii="Interstate-Light" w:hAnsi="Interstate-Light" w:cs="ScalaSansLF-Regular"/>
                <w:b/>
                <w:bCs/>
              </w:rPr>
            </w:pPr>
            <w:r w:rsidRPr="00D02A35">
              <w:rPr>
                <w:rFonts w:ascii="Interstate-Light" w:hAnsi="Interstate-Light" w:cs="ScalaSansLF-Regular"/>
                <w:b/>
                <w:bCs/>
              </w:rPr>
              <w:t>Environnement / Pollution :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ind w:left="469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271C3B">
        <w:trPr>
          <w:trHeight w:val="358"/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ind w:left="469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 xml:space="preserve">Document technique et/ou concernant l’environnement susceptible d’avoir une incidence sur la valeur : 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vAlign w:val="center"/>
          </w:tcPr>
          <w:p w:rsidR="00D02A35" w:rsidRPr="00D02A35" w:rsidRDefault="00FB5DE2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271C3B">
        <w:trPr>
          <w:trHeight w:val="423"/>
          <w:jc w:val="center"/>
        </w:trPr>
        <w:tc>
          <w:tcPr>
            <w:tcW w:w="0" w:type="auto"/>
            <w:tcBorders>
              <w:top w:val="single" w:sz="6" w:space="0" w:color="auto"/>
              <w:bottom w:val="dotted" w:sz="6" w:space="0" w:color="auto"/>
            </w:tcBorders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Risques naturels prévisibles ou technologiques et miniers</w:t>
            </w:r>
          </w:p>
        </w:tc>
        <w:tc>
          <w:tcPr>
            <w:tcW w:w="0" w:type="auto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D02A35" w:rsidRPr="00D02A35" w:rsidRDefault="00C824B3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bottom w:val="dotted" w:sz="6" w:space="0" w:color="auto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234"/>
          <w:jc w:val="center"/>
        </w:trPr>
        <w:tc>
          <w:tcPr>
            <w:tcW w:w="0" w:type="auto"/>
            <w:tcBorders>
              <w:top w:val="dotted" w:sz="4" w:space="0" w:color="auto"/>
              <w:bottom w:val="dotted" w:sz="6" w:space="0" w:color="auto"/>
            </w:tcBorders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lastRenderedPageBreak/>
              <w:t>Zone aérodrome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D02A35" w:rsidRPr="00D02A35" w:rsidRDefault="00FB5DE2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dotted" w:sz="4" w:space="0" w:color="auto"/>
              <w:bottom w:val="dotted" w:sz="6" w:space="0" w:color="auto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409"/>
          <w:jc w:val="center"/>
        </w:trPr>
        <w:tc>
          <w:tcPr>
            <w:tcW w:w="0" w:type="auto"/>
            <w:tcBorders>
              <w:top w:val="nil"/>
              <w:bottom w:val="dotted" w:sz="6" w:space="0" w:color="auto"/>
            </w:tcBorders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Attestation amiante, termites, radon,  carrez, plomb, performance énergétique…</w:t>
            </w:r>
          </w:p>
        </w:tc>
        <w:tc>
          <w:tcPr>
            <w:tcW w:w="0" w:type="auto"/>
            <w:tcBorders>
              <w:top w:val="nil"/>
              <w:bottom w:val="dotted" w:sz="6" w:space="0" w:color="auto"/>
            </w:tcBorders>
            <w:vAlign w:val="center"/>
          </w:tcPr>
          <w:p w:rsidR="00D02A35" w:rsidRPr="00D02A35" w:rsidRDefault="003143C1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dotted" w:sz="6" w:space="0" w:color="auto"/>
            </w:tcBorders>
            <w:vAlign w:val="center"/>
          </w:tcPr>
          <w:p w:rsidR="00D02A35" w:rsidRPr="00D02A35" w:rsidRDefault="00FB5DE2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dotted" w:sz="6" w:space="0" w:color="auto"/>
            </w:tcBorders>
            <w:vAlign w:val="center"/>
          </w:tcPr>
          <w:p w:rsidR="00D02A35" w:rsidRPr="00D02A35" w:rsidRDefault="003143C1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dotted" w:sz="6" w:space="0" w:color="auto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dotted" w:sz="6" w:space="0" w:color="auto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234"/>
          <w:jc w:val="center"/>
        </w:trPr>
        <w:tc>
          <w:tcPr>
            <w:tcW w:w="0" w:type="auto"/>
            <w:tcBorders>
              <w:top w:val="nil"/>
            </w:tcBorders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Analyse pollution des sols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FB5DE2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234"/>
          <w:jc w:val="center"/>
        </w:trPr>
        <w:tc>
          <w:tcPr>
            <w:tcW w:w="0" w:type="auto"/>
            <w:tcBorders>
              <w:top w:val="nil"/>
            </w:tcBorders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Etat de l’installation intérieure gaz naturel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3143C1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FB5DE2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3143C1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  <w:bookmarkStart w:id="1" w:name="_GoBack"/>
        <w:bookmarkEnd w:id="1"/>
      </w:tr>
      <w:tr w:rsidR="00D02A35" w:rsidRPr="00D02A35" w:rsidTr="00306CA2">
        <w:trPr>
          <w:trHeight w:val="219"/>
          <w:jc w:val="center"/>
        </w:trPr>
        <w:tc>
          <w:tcPr>
            <w:tcW w:w="0" w:type="auto"/>
            <w:tcBorders>
              <w:top w:val="nil"/>
            </w:tcBorders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Diagnostic électrique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3143C1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FB5DE2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3143C1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423"/>
          <w:jc w:val="center"/>
        </w:trPr>
        <w:tc>
          <w:tcPr>
            <w:tcW w:w="0" w:type="auto"/>
            <w:tcBorders>
              <w:top w:val="nil"/>
            </w:tcBorders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Facture EDF GDF Fioul sur un an, contrat de location de citerne gaz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3143C1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3143C1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234"/>
          <w:jc w:val="center"/>
        </w:trPr>
        <w:tc>
          <w:tcPr>
            <w:tcW w:w="0" w:type="auto"/>
            <w:tcBorders>
              <w:top w:val="nil"/>
            </w:tcBorders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Piscines : Réglementation et normes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3143C1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3143C1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FB5DE2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271C3B">
        <w:trPr>
          <w:trHeight w:val="561"/>
          <w:jc w:val="center"/>
        </w:trPr>
        <w:tc>
          <w:tcPr>
            <w:tcW w:w="0" w:type="auto"/>
            <w:tcBorders>
              <w:top w:val="nil"/>
            </w:tcBorders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before="40"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Assainissement : SPANC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tcBorders>
              <w:top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307"/>
          <w:jc w:val="center"/>
        </w:trPr>
        <w:tc>
          <w:tcPr>
            <w:tcW w:w="0" w:type="auto"/>
            <w:tcBorders>
              <w:right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spacing w:before="40" w:after="40"/>
              <w:ind w:left="469"/>
              <w:rPr>
                <w:rFonts w:ascii="Interstate-Light" w:hAnsi="Interstate-Light" w:cs="ScalaSansLF-Regular"/>
                <w:b/>
                <w:bCs/>
              </w:rPr>
            </w:pPr>
            <w:r w:rsidRPr="00D02A35">
              <w:rPr>
                <w:rFonts w:ascii="Interstate-Light" w:hAnsi="Interstate-Light" w:cs="ScalaSansLF-Regular"/>
                <w:b/>
                <w:bCs/>
              </w:rPr>
              <w:t>Autres :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ind w:left="469"/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380"/>
          <w:jc w:val="center"/>
        </w:trPr>
        <w:tc>
          <w:tcPr>
            <w:tcW w:w="0" w:type="auto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Coordonnées des gestionnaires et personnes à contacter pour effectuer les visites.</w:t>
            </w:r>
          </w:p>
        </w:tc>
        <w:tc>
          <w:tcPr>
            <w:tcW w:w="0" w:type="auto"/>
            <w:vAlign w:val="center"/>
          </w:tcPr>
          <w:p w:rsidR="00D02A35" w:rsidRPr="00D02A35" w:rsidRDefault="003143C1" w:rsidP="00306CA2">
            <w:pPr>
              <w:numPr>
                <w:ilvl w:val="12"/>
                <w:numId w:val="0"/>
              </w:numPr>
              <w:ind w:left="469"/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FB5DE2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3143C1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>
              <w:rPr>
                <w:rFonts w:ascii="Interstate-Light" w:hAnsi="Interstate-Light" w:cs="ScalaSansLF-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nterstate-Light" w:hAnsi="Interstate-Light" w:cs="ScalaSansLF-Regular"/>
              </w:rPr>
              <w:instrText xml:space="preserve"> FORMCHECKBOX </w:instrText>
            </w:r>
            <w:r>
              <w:rPr>
                <w:rFonts w:ascii="Interstate-Light" w:hAnsi="Interstate-Light" w:cs="ScalaSansLF-Regular"/>
              </w:rPr>
            </w:r>
            <w:r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numPr>
                <w:ilvl w:val="12"/>
                <w:numId w:val="0"/>
              </w:numPr>
              <w:jc w:val="center"/>
              <w:rPr>
                <w:rFonts w:ascii="Interstate-Light" w:hAnsi="Interstate-Light" w:cs="ScalaSansLF-Regular"/>
              </w:rPr>
            </w:pPr>
          </w:p>
        </w:tc>
      </w:tr>
      <w:tr w:rsidR="00D02A35" w:rsidRPr="00D02A35" w:rsidTr="00306CA2">
        <w:trPr>
          <w:trHeight w:val="380"/>
          <w:jc w:val="center"/>
        </w:trPr>
        <w:tc>
          <w:tcPr>
            <w:tcW w:w="0" w:type="auto"/>
            <w:vAlign w:val="center"/>
          </w:tcPr>
          <w:p w:rsidR="00D02A35" w:rsidRPr="00D02A35" w:rsidRDefault="00D02A35" w:rsidP="00306CA2">
            <w:pPr>
              <w:numPr>
                <w:ilvl w:val="0"/>
                <w:numId w:val="1"/>
              </w:numPr>
              <w:spacing w:after="0" w:line="240" w:lineRule="auto"/>
              <w:ind w:left="469" w:hanging="284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t>Informations comptables et résultat d’exploitation dans le cas d’évaluation de fonds de commerce</w:t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ind w:left="469"/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D02A35" w:rsidRPr="00D02A35" w:rsidRDefault="00D02A35" w:rsidP="00306CA2">
            <w:pPr>
              <w:jc w:val="center"/>
              <w:rPr>
                <w:rFonts w:ascii="Interstate-Light" w:hAnsi="Interstate-Light" w:cs="ScalaSansLF-Regular"/>
              </w:rPr>
            </w:pPr>
            <w:r w:rsidRPr="00D02A35">
              <w:rPr>
                <w:rFonts w:ascii="Interstate-Light" w:hAnsi="Interstate-Light" w:cs="ScalaSansLF-Regula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A35">
              <w:rPr>
                <w:rFonts w:ascii="Interstate-Light" w:hAnsi="Interstate-Light" w:cs="ScalaSansLF-Regular"/>
              </w:rPr>
              <w:instrText xml:space="preserve"> FORMCHECKBOX </w:instrText>
            </w:r>
            <w:r w:rsidR="00C824B3">
              <w:rPr>
                <w:rFonts w:ascii="Interstate-Light" w:hAnsi="Interstate-Light" w:cs="ScalaSansLF-Regular"/>
              </w:rPr>
            </w:r>
            <w:r w:rsidR="00C824B3">
              <w:rPr>
                <w:rFonts w:ascii="Interstate-Light" w:hAnsi="Interstate-Light" w:cs="ScalaSansLF-Regular"/>
              </w:rPr>
              <w:fldChar w:fldCharType="separate"/>
            </w:r>
            <w:r w:rsidRPr="00D02A35">
              <w:rPr>
                <w:rFonts w:ascii="Interstate-Light" w:hAnsi="Interstate-Light" w:cs="ScalaSansLF-Regular"/>
              </w:rPr>
              <w:fldChar w:fldCharType="end"/>
            </w:r>
          </w:p>
        </w:tc>
        <w:tc>
          <w:tcPr>
            <w:tcW w:w="0" w:type="auto"/>
          </w:tcPr>
          <w:p w:rsidR="00D02A35" w:rsidRPr="00D02A35" w:rsidRDefault="00D02A35" w:rsidP="00306CA2">
            <w:pPr>
              <w:jc w:val="center"/>
              <w:rPr>
                <w:rFonts w:ascii="Interstate-Light" w:hAnsi="Interstate-Light" w:cs="ScalaSansLF-Regular"/>
              </w:rPr>
            </w:pPr>
          </w:p>
        </w:tc>
      </w:tr>
    </w:tbl>
    <w:p w:rsidR="00E178DC" w:rsidRPr="00D02A35" w:rsidRDefault="00E178DC" w:rsidP="00271C3B"/>
    <w:sectPr w:rsidR="00E178DC" w:rsidRPr="00D02A35" w:rsidSect="00271C3B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erstate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alaSansLF-Regular">
    <w:altName w:val="Corbel"/>
    <w:charset w:val="00"/>
    <w:family w:val="auto"/>
    <w:pitch w:val="variable"/>
    <w:sig w:usb0="00000001" w:usb1="0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486C13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-1" w:hanging="283"/>
        </w:pPr>
        <w:rPr>
          <w:rFonts w:ascii="Symbol" w:hAnsi="Symbol" w:hint="default"/>
          <w:sz w:val="1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35"/>
    <w:rsid w:val="00271C3B"/>
    <w:rsid w:val="00306CA2"/>
    <w:rsid w:val="003143C1"/>
    <w:rsid w:val="00916268"/>
    <w:rsid w:val="00AA7167"/>
    <w:rsid w:val="00AE402A"/>
    <w:rsid w:val="00C824B3"/>
    <w:rsid w:val="00D02A35"/>
    <w:rsid w:val="00E178DC"/>
    <w:rsid w:val="00FB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DCC62-0191-4935-B90D-8DB03FAA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A35"/>
    <w:pPr>
      <w:spacing w:after="160" w:line="259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1082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CAMPANI</dc:creator>
  <cp:lastModifiedBy>Sandrine</cp:lastModifiedBy>
  <cp:revision>4</cp:revision>
  <cp:lastPrinted>2019-02-07T16:48:00Z</cp:lastPrinted>
  <dcterms:created xsi:type="dcterms:W3CDTF">2019-02-25T20:56:00Z</dcterms:created>
  <dcterms:modified xsi:type="dcterms:W3CDTF">2019-02-25T21:02:00Z</dcterms:modified>
</cp:coreProperties>
</file>